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6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FFFFFF" w:val="clear"/>
        </w:rPr>
        <w:t xml:space="preserve">Kotlíkové dotace pro domácnosti s ni</w:t>
      </w: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FFFFFF" w:val="clear"/>
        </w:rPr>
        <w:t xml:space="preserve">žš</w:t>
      </w: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FFFFFF" w:val="clear"/>
        </w:rPr>
        <w:t xml:space="preserve">ími p</w:t>
      </w: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FFFFFF" w:val="clear"/>
        </w:rPr>
        <w:t xml:space="preserve">ř</w:t>
      </w: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FFFFFF" w:val="clear"/>
        </w:rPr>
        <w:t xml:space="preserve">íjmy 2022</w:t>
      </w:r>
    </w:p>
    <w:p>
      <w:pPr>
        <w:spacing w:before="0" w:after="0" w:line="240"/>
        <w:ind w:right="-426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FF0000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FFFFFF" w:val="clear"/>
        </w:rPr>
        <w:t xml:space="preserve">Na co lze kotlíkovou dotaci pro domácnosti s ni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FFFFFF" w:val="clear"/>
        </w:rPr>
        <w:t xml:space="preserve">žš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FFFFFF" w:val="clear"/>
        </w:rPr>
        <w:t xml:space="preserve">ími p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FFFFFF" w:val="clear"/>
        </w:rPr>
        <w:t xml:space="preserve">ř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FFFFFF" w:val="clear"/>
        </w:rPr>
        <w:t xml:space="preserve">íjmy 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FFFFFF" w:val="clear"/>
        </w:rPr>
        <w:t xml:space="preserve">čerpat?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1"/>
          <w:u w:val="single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FFFFFF" w:val="clear"/>
        </w:rPr>
        <w:t xml:space="preserve">Kotlíkovou dotaci lze 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FFFFFF" w:val="clear"/>
        </w:rPr>
        <w:t xml:space="preserve">čerpat na v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FFFFFF" w:val="clear"/>
        </w:rPr>
        <w:t xml:space="preserve">ým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FFFFFF" w:val="clear"/>
        </w:rPr>
        <w:t xml:space="preserve">ěnu kotlů na pevn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FFFFFF" w:val="clear"/>
        </w:rPr>
        <w:t xml:space="preserve">á paliva s ru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FFFFFF" w:val="clear"/>
        </w:rPr>
        <w:t xml:space="preserve">čn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FFFFFF" w:val="clear"/>
        </w:rPr>
        <w:t xml:space="preserve">ím p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FFFFFF" w:val="clear"/>
        </w:rPr>
        <w:t xml:space="preserve">řikl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FFFFFF" w:val="clear"/>
        </w:rPr>
        <w:t xml:space="preserve">ádáním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  <w:t xml:space="preserve">, které nespl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  <w:t xml:space="preserve">ňuj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  <w:t xml:space="preserve">í 3., 4. nebo 5. emisní t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  <w:t xml:space="preserve">ídu 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u w:val="single"/>
          <w:shd w:fill="FFFFFF" w:val="clear"/>
        </w:rPr>
        <w:t xml:space="preserve">a jejich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u w:val="single"/>
          <w:shd w:fill="FFFFFF" w:val="clear"/>
        </w:rPr>
        <w:t xml:space="preserve">ž provoz je od 1. 9. 2022 zak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u w:val="single"/>
          <w:shd w:fill="FFFFFF" w:val="clear"/>
        </w:rPr>
        <w:t xml:space="preserve">ázán. </w:t>
      </w:r>
    </w:p>
    <w:p>
      <w:pPr>
        <w:spacing w:before="0" w:after="0" w:line="240"/>
        <w:ind w:right="-426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  <w:t xml:space="preserve">Dotaci lze získat pouze pro vým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  <w:t xml:space="preserve">ěny kotlů realizovan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  <w:t xml:space="preserve">é od 1. ledna 2021.</w:t>
      </w:r>
    </w:p>
    <w:p>
      <w:pPr>
        <w:spacing w:before="0" w:after="0" w:line="240"/>
        <w:ind w:right="-426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FF0000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FFFFFF" w:val="clear"/>
        </w:rPr>
        <w:t xml:space="preserve">Jaký nový zdroj tepla si lze z dotace po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FFFFFF" w:val="clear"/>
        </w:rPr>
        <w:t xml:space="preserve">ř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FFFFFF" w:val="clear"/>
        </w:rPr>
        <w:t xml:space="preserve">ídit a jak vysoká je dotace?</w:t>
      </w:r>
    </w:p>
    <w:p>
      <w:pPr>
        <w:spacing w:before="0" w:after="0" w:line="240"/>
        <w:ind w:right="-426" w:left="0" w:firstLine="0"/>
        <w:jc w:val="both"/>
        <w:rPr>
          <w:rFonts w:ascii="Arial" w:hAnsi="Arial" w:cs="Arial" w:eastAsia="Arial"/>
          <w:b/>
          <w:color w:val="FF0000"/>
          <w:spacing w:val="0"/>
          <w:position w:val="0"/>
          <w:sz w:val="21"/>
          <w:shd w:fill="FFFFFF" w:val="clear"/>
        </w:rPr>
      </w:pPr>
    </w:p>
    <w:tbl>
      <w:tblPr/>
      <w:tblGrid>
        <w:gridCol w:w="5822"/>
        <w:gridCol w:w="4385"/>
      </w:tblGrid>
      <w:tr>
        <w:trPr>
          <w:trHeight w:val="1" w:hRule="atLeast"/>
          <w:jc w:val="left"/>
        </w:trPr>
        <w:tc>
          <w:tcPr>
            <w:tcW w:w="582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Zdroj tepla</w:t>
            </w:r>
          </w:p>
        </w:tc>
        <w:tc>
          <w:tcPr>
            <w:tcW w:w="438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Maximální dotace</w:t>
            </w:r>
          </w:p>
        </w:tc>
      </w:tr>
      <w:tr>
        <w:trPr>
          <w:trHeight w:val="1" w:hRule="atLeast"/>
          <w:jc w:val="left"/>
        </w:trPr>
        <w:tc>
          <w:tcPr>
            <w:tcW w:w="582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Kotel na biomasu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1"/>
                <w:shd w:fill="auto" w:val="clear"/>
              </w:rPr>
              <w:t xml:space="preserve">(pelety) s automatickým 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1"/>
                <w:shd w:fill="auto" w:val="clear"/>
              </w:rPr>
              <w:t xml:space="preserve">řikl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1"/>
                <w:shd w:fill="auto" w:val="clear"/>
              </w:rPr>
              <w:t xml:space="preserve">ádáním</w:t>
            </w:r>
          </w:p>
        </w:tc>
        <w:tc>
          <w:tcPr>
            <w:tcW w:w="438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1"/>
                <w:shd w:fill="auto" w:val="clear"/>
              </w:rPr>
              <w:t xml:space="preserve">95 %, max. 130 000,- 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1"/>
                <w:shd w:fill="auto" w:val="clear"/>
              </w:rPr>
              <w:t xml:space="preserve">č</w:t>
            </w:r>
          </w:p>
        </w:tc>
      </w:tr>
      <w:tr>
        <w:trPr>
          <w:trHeight w:val="1" w:hRule="atLeast"/>
          <w:jc w:val="left"/>
        </w:trPr>
        <w:tc>
          <w:tcPr>
            <w:tcW w:w="582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1"/>
                <w:shd w:fill="FFFFFF" w:val="clear"/>
              </w:rPr>
              <w:t xml:space="preserve">Kotel na biomasu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1"/>
                <w:shd w:fill="FFFFFF" w:val="clear"/>
              </w:rPr>
              <w:t xml:space="preserve">(kusové d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1"/>
                <w:shd w:fill="FFFFFF" w:val="clear"/>
              </w:rPr>
              <w:t xml:space="preserve">řevo) s ručn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1"/>
                <w:shd w:fill="FFFFFF" w:val="clear"/>
              </w:rPr>
              <w:t xml:space="preserve">ím 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1"/>
                <w:shd w:fill="FFFFFF" w:val="clear"/>
              </w:rPr>
              <w:t xml:space="preserve">řikl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1"/>
                <w:shd w:fill="FFFFFF" w:val="clear"/>
              </w:rPr>
              <w:t xml:space="preserve">ádáním</w:t>
            </w:r>
          </w:p>
        </w:tc>
        <w:tc>
          <w:tcPr>
            <w:tcW w:w="438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1"/>
                <w:shd w:fill="auto" w:val="clear"/>
              </w:rPr>
              <w:t xml:space="preserve">95 %, max. 130 000,- 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1"/>
                <w:shd w:fill="auto" w:val="clear"/>
              </w:rPr>
              <w:t xml:space="preserve">č</w:t>
            </w:r>
          </w:p>
        </w:tc>
      </w:tr>
      <w:tr>
        <w:trPr>
          <w:trHeight w:val="1" w:hRule="atLeast"/>
          <w:jc w:val="left"/>
        </w:trPr>
        <w:tc>
          <w:tcPr>
            <w:tcW w:w="582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Tepelné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čerpadlo</w:t>
            </w:r>
          </w:p>
        </w:tc>
        <w:tc>
          <w:tcPr>
            <w:tcW w:w="438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1"/>
                <w:shd w:fill="auto" w:val="clear"/>
              </w:rPr>
              <w:t xml:space="preserve">95 %, max. 130 000,- 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1"/>
                <w:shd w:fill="auto" w:val="clear"/>
              </w:rPr>
              <w:t xml:space="preserve">č</w:t>
            </w:r>
          </w:p>
        </w:tc>
      </w:tr>
      <w:tr>
        <w:trPr>
          <w:trHeight w:val="1" w:hRule="atLeast"/>
          <w:jc w:val="left"/>
        </w:trPr>
        <w:tc>
          <w:tcPr>
            <w:tcW w:w="582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Kondenza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čn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í kotel na zemní plyn</w:t>
            </w:r>
          </w:p>
        </w:tc>
        <w:tc>
          <w:tcPr>
            <w:tcW w:w="438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1"/>
                <w:shd w:fill="auto" w:val="clear"/>
              </w:rPr>
              <w:t xml:space="preserve">95 %, max. 100 000,- 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1"/>
                <w:shd w:fill="auto" w:val="clear"/>
              </w:rPr>
              <w:t xml:space="preserve">č</w:t>
            </w:r>
          </w:p>
        </w:tc>
      </w:tr>
    </w:tbl>
    <w:p>
      <w:pPr>
        <w:spacing w:before="0" w:after="0" w:line="240"/>
        <w:ind w:right="-426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FF0000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FFFFFF" w:val="clear"/>
        </w:rPr>
        <w:t xml:space="preserve">Kdo m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FFFFFF" w:val="clear"/>
        </w:rPr>
        <w:t xml:space="preserve">ůže o dotaci ž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FFFFFF" w:val="clear"/>
        </w:rPr>
        <w:t xml:space="preserve">ádat?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FFFFFF" w:val="clear"/>
        </w:rPr>
        <w:t xml:space="preserve">Vlastník nebo spoluvlastník nemovitosti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  <w:t xml:space="preserve"> (rodinného nebo bytového domu, bytové jednotky nebo trvale obývaného rekrea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  <w:t xml:space="preserve">ího objektu) v Jiho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  <w:t xml:space="preserve">česk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  <w:t xml:space="preserve">ém kraji, vytáp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  <w:t xml:space="preserve">é kotlem na pevná paliva s ru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  <w:t xml:space="preserve">ím p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  <w:t xml:space="preserve">řikl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  <w:t xml:space="preserve">ádáním nespl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  <w:t xml:space="preserve">ňuj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  <w:t xml:space="preserve">ícím 3., 4. nebo 5. emisní t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  <w:t xml:space="preserve">ídu.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FF0000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FFFFFF" w:val="clear"/>
        </w:rPr>
        <w:t xml:space="preserve">Kdo má nárok na kotlíkovou dotaci pro domácnosti s ni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FFFFFF" w:val="clear"/>
        </w:rPr>
        <w:t xml:space="preserve">žš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FFFFFF" w:val="clear"/>
        </w:rPr>
        <w:t xml:space="preserve">ími p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FFFFFF" w:val="clear"/>
        </w:rPr>
        <w:t xml:space="preserve">ř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FFFFFF" w:val="clear"/>
        </w:rPr>
        <w:t xml:space="preserve">íjmy?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Nárok na kotlíkovou dotaci pro domácnosti ni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žš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ími p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íjmy mají domácnosti spl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ňuj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ící jeden z ní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že uveden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ých p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ředpokladů:</w:t>
      </w:r>
    </w:p>
    <w:p>
      <w:pPr>
        <w:numPr>
          <w:ilvl w:val="0"/>
          <w:numId w:val="26"/>
        </w:numPr>
        <w:spacing w:before="80" w:after="0" w:line="240"/>
        <w:ind w:right="0" w:left="284" w:hanging="284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Žadatel a všichni členov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é jeho domácnosti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pobírají ke dni podání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ádosti o podporu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starobní d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ůchod nebo invalidn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í d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ůchod 3. stupně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 Př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íjmy této domácnosti nebudou sledovány.</w:t>
      </w:r>
    </w:p>
    <w:p>
      <w:pPr>
        <w:numPr>
          <w:ilvl w:val="0"/>
          <w:numId w:val="26"/>
        </w:numPr>
        <w:spacing w:before="80" w:after="0" w:line="240"/>
        <w:ind w:right="0" w:left="284" w:hanging="284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Žadatel je nezletil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ý nebo student denního studia do 26 let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 V 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ípad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 spoluvlastnictv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rodinného domu, trvale obývané stavby pro rodinnou rekreaci nebo bytové jednotky v bytovém dom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 jsou i ostatn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 spoluvlastníci nezletilí nebo studenti denního studia do 26 let.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íjmy této domácnosti nebudou sledovány.</w:t>
      </w:r>
    </w:p>
    <w:p>
      <w:pPr>
        <w:numPr>
          <w:ilvl w:val="0"/>
          <w:numId w:val="26"/>
        </w:numPr>
        <w:spacing w:before="80" w:after="0" w:line="240"/>
        <w:ind w:right="0" w:left="284" w:hanging="284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Žadatel v obdob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í od 1. 1. 2020 do doby podání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ádosti o podporu pobíral dávky v hmotné nouzi nebo p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ísp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ěvek na bydlen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(není nutné, aby dávky nebo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ísp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ěvek pob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íral po celou dobu).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íjmy této domácnosti nebudou sledovány.</w:t>
      </w:r>
    </w:p>
    <w:p>
      <w:pPr>
        <w:numPr>
          <w:ilvl w:val="0"/>
          <w:numId w:val="26"/>
        </w:numPr>
        <w:spacing w:before="80" w:after="0" w:line="240"/>
        <w:ind w:right="0" w:left="284" w:hanging="284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Domácnost je tvo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řena osobami (vč. seniorů a dět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í), jejich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ž průměrn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ý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čist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ý p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íjem na jednoho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člena dom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ácnosti v roce 2020 nep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řev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ý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šil 170 900 tis. Kč.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Př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íjmy této domácnosti musejí být za 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šechny členy dom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ácnosti dolo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ženy, a to se zohledněn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ím ní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že uveden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ých podmínek: </w:t>
      </w:r>
    </w:p>
    <w:p>
      <w:pPr>
        <w:numPr>
          <w:ilvl w:val="0"/>
          <w:numId w:val="26"/>
        </w:numPr>
        <w:spacing w:before="80" w:after="0" w:line="240"/>
        <w:ind w:right="0" w:left="567" w:hanging="215"/>
        <w:jc w:val="both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Domácnost tvo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ř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í výhradn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ě osoby, kter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é mají v dot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čen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é nemovitosti trvalé bydli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ště, a d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ále ostatní osoby, které s 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žadatelem trvale bydl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í. V p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ř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ípad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ě, že osoba s trval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ým bydli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štěm bydl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í ve skute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čnosti jinde, poskytne čestn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é prohlá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šen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í a p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ř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íjem této osoby se do p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ř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íjmu domácnosti zapo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č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ítávat nebude.</w:t>
      </w:r>
      <w:r>
        <w:rPr>
          <w:rFonts w:ascii="Segoe UI" w:hAnsi="Segoe UI" w:cs="Segoe UI" w:eastAsia="Segoe UI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Po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čet členů dom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ácnosti je rozhodný k datu podání 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ž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ádosti o podporu.</w:t>
      </w:r>
    </w:p>
    <w:p>
      <w:pPr>
        <w:numPr>
          <w:ilvl w:val="0"/>
          <w:numId w:val="26"/>
        </w:numPr>
        <w:spacing w:before="80" w:after="0" w:line="240"/>
        <w:ind w:right="0" w:left="567" w:hanging="215"/>
        <w:jc w:val="both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Do p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ř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íjm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ů se započ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ítávají ve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šker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é p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ř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íjmy 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člena dom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ácnosti, tj. p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ř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íjmy ze zam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ěstn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ání, samostatné výd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ělečn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é 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činnosti, pron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ájm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ů, vešker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é typy d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ůchodů, d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ávky nemocenské, pen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ěžit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á pomoc v mate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řstv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í, dávky státní sociální podpory, podpora v nezam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ěstnanosti, rodičovsk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ý p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ř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ísp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ěvek, d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ávky v hmotné nouzi atp.</w:t>
      </w:r>
    </w:p>
    <w:p>
      <w:pPr>
        <w:numPr>
          <w:ilvl w:val="0"/>
          <w:numId w:val="26"/>
        </w:numPr>
        <w:spacing w:before="80" w:after="0" w:line="240"/>
        <w:ind w:right="0" w:left="567" w:hanging="215"/>
        <w:jc w:val="both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P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ř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íjmy nezletilých d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ět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í a student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ů do 26 let, kteř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í studují v denním studiu, se uva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žuj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í ve vý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ši 0.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CE" w:hAnsi="Arial CE" w:cs="Arial CE" w:eastAsia="Arial CE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Arial CE" w:hAnsi="Arial CE" w:cs="Arial CE" w:eastAsia="Arial CE"/>
          <w:b/>
          <w:color w:val="FF0000"/>
          <w:spacing w:val="0"/>
          <w:position w:val="0"/>
          <w:sz w:val="28"/>
          <w:shd w:fill="auto" w:val="clear"/>
        </w:rPr>
        <w:t xml:space="preserve">Kdy a jak bude mo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žn</w:t>
      </w:r>
      <w:r>
        <w:rPr>
          <w:rFonts w:ascii="Arial CE" w:hAnsi="Arial CE" w:cs="Arial CE" w:eastAsia="Arial CE"/>
          <w:b/>
          <w:color w:val="FF0000"/>
          <w:spacing w:val="0"/>
          <w:position w:val="0"/>
          <w:sz w:val="28"/>
          <w:shd w:fill="auto" w:val="clear"/>
        </w:rPr>
        <w:t xml:space="preserve">é podat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ž</w:t>
      </w:r>
      <w:r>
        <w:rPr>
          <w:rFonts w:ascii="Arial CE" w:hAnsi="Arial CE" w:cs="Arial CE" w:eastAsia="Arial CE"/>
          <w:b/>
          <w:color w:val="FF0000"/>
          <w:spacing w:val="0"/>
          <w:position w:val="0"/>
          <w:sz w:val="28"/>
          <w:shd w:fill="auto" w:val="clear"/>
        </w:rPr>
        <w:t xml:space="preserve">ádost o dotaci?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ř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íjem 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ž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ádostí o kotlíkovou dotaci pro domácnosti s ni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žš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ími p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ř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íjmy se p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ředpokl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ádá na ja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ře 2022. </w:t>
      </w:r>
    </w:p>
    <w:p>
      <w:pPr>
        <w:spacing w:before="0" w:after="0" w:line="240"/>
        <w:ind w:right="0" w:left="0" w:firstLine="0"/>
        <w:jc w:val="both"/>
        <w:rPr>
          <w:rFonts w:ascii="Arial CE" w:hAnsi="Arial CE" w:cs="Arial CE" w:eastAsia="Arial CE"/>
          <w:b/>
          <w:color w:val="FF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Ž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ádost o dotaci bude podávána výhradn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ě elektronicky přes webovou aplikaci Port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ál ob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čana 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s n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ásledným povinným doru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čen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ím listinné verze 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ádosti a p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íloh na Krajský ú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řad Jihočesk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ého kraje. Pro podání 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ádosti bude k dispozici podrobný návod.</w:t>
      </w:r>
    </w:p>
    <w:p>
      <w:pPr>
        <w:spacing w:before="0" w:after="0" w:line="240"/>
        <w:ind w:right="-426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Informa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čn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í zdroje: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Informa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čn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í linka: </w:t>
      </w:r>
      <w:r>
        <w:rPr>
          <w:rFonts w:ascii="Arial" w:hAnsi="Arial" w:cs="Arial" w:eastAsia="Arial"/>
          <w:b/>
          <w:color w:val="4472C4"/>
          <w:spacing w:val="0"/>
          <w:position w:val="0"/>
          <w:sz w:val="28"/>
          <w:shd w:fill="auto" w:val="clear"/>
        </w:rPr>
        <w:t xml:space="preserve">386 720 323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Mail: </w:t>
      </w:r>
      <w:hyperlink xmlns:r="http://schemas.openxmlformats.org/officeDocument/2006/relationships" r:id="docRId0">
        <w:r>
          <w:rPr>
            <w:rFonts w:ascii="Arial" w:hAnsi="Arial" w:cs="Arial" w:eastAsia="Arial"/>
            <w:b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kotliky@kraj-jihocesky.cz</w:t>
        </w:r>
      </w:hyperlink>
    </w:p>
    <w:p>
      <w:pPr>
        <w:tabs>
          <w:tab w:val="left" w:pos="9072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Webové stránky: </w:t>
      </w:r>
      <w:hyperlink xmlns:r="http://schemas.openxmlformats.org/officeDocument/2006/relationships" r:id="docRId1">
        <w:r>
          <w:rPr>
            <w:rFonts w:ascii="Arial" w:hAnsi="Arial" w:cs="Arial" w:eastAsia="Arial"/>
            <w:b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https://kotlikovedotace.kraj-jihocesky.cz</w:t>
        </w:r>
      </w:hyperlink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kotliky@kraj-jihocesky.cz" Id="docRId0" Type="http://schemas.openxmlformats.org/officeDocument/2006/relationships/hyperlink" /><Relationship TargetMode="External" Target="https://kotlikovedotace.kraj-jihocesky.cz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